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债权申报文件清单（单位）</w:t>
      </w:r>
    </w:p>
    <w:p>
      <w:pPr>
        <w:spacing w:line="0" w:lineRule="atLeast"/>
        <w:jc w:val="center"/>
        <w:rPr>
          <w:rFonts w:ascii="仿宋" w:hAnsi="仿宋" w:eastAsia="仿宋"/>
          <w:sz w:val="28"/>
          <w:szCs w:val="28"/>
        </w:rPr>
      </w:pPr>
    </w:p>
    <w:tbl>
      <w:tblPr>
        <w:tblStyle w:val="13"/>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江苏省海安市人民法院根据</w:t>
      </w:r>
      <w:r>
        <w:rPr>
          <w:rFonts w:hint="eastAsia" w:ascii="仿宋" w:hAnsi="仿宋" w:eastAsia="仿宋"/>
          <w:sz w:val="26"/>
          <w:szCs w:val="26"/>
          <w:lang w:val="en-US" w:eastAsia="zh-CN"/>
        </w:rPr>
        <w:t>海安市海陵融资担保有限公司、中投融资担保海安有限公司</w:t>
      </w:r>
      <w:r>
        <w:rPr>
          <w:rFonts w:hint="eastAsia" w:ascii="仿宋" w:hAnsi="仿宋" w:eastAsia="仿宋"/>
          <w:sz w:val="26"/>
          <w:szCs w:val="26"/>
        </w:rPr>
        <w:t>的申请，于2024年1月1</w:t>
      </w:r>
      <w:r>
        <w:rPr>
          <w:rFonts w:hint="eastAsia" w:ascii="仿宋" w:hAnsi="仿宋" w:eastAsia="仿宋"/>
          <w:sz w:val="26"/>
          <w:szCs w:val="26"/>
          <w:lang w:val="en-US" w:eastAsia="zh-CN"/>
        </w:rPr>
        <w:t>2</w:t>
      </w:r>
      <w:r>
        <w:rPr>
          <w:rFonts w:hint="eastAsia" w:ascii="仿宋" w:hAnsi="仿宋" w:eastAsia="仿宋"/>
          <w:sz w:val="26"/>
          <w:szCs w:val="26"/>
        </w:rPr>
        <w:t>日裁定受理对</w:t>
      </w:r>
      <w:r>
        <w:rPr>
          <w:rFonts w:hint="eastAsia" w:ascii="仿宋" w:hAnsi="仿宋" w:eastAsia="仿宋"/>
          <w:sz w:val="26"/>
          <w:szCs w:val="26"/>
          <w:lang w:val="en-US" w:eastAsia="zh-CN"/>
        </w:rPr>
        <w:t>江苏星鲨玻璃科技有限公司</w:t>
      </w:r>
      <w:r>
        <w:rPr>
          <w:rFonts w:hint="eastAsia" w:ascii="仿宋" w:hAnsi="仿宋" w:eastAsia="仿宋"/>
          <w:sz w:val="26"/>
          <w:szCs w:val="26"/>
        </w:rPr>
        <w:t>破产</w:t>
      </w:r>
      <w:r>
        <w:rPr>
          <w:rFonts w:hint="eastAsia" w:ascii="仿宋" w:hAnsi="仿宋" w:eastAsia="仿宋"/>
          <w:sz w:val="26"/>
          <w:szCs w:val="26"/>
          <w:lang w:val="en-US" w:eastAsia="zh-CN"/>
        </w:rPr>
        <w:t>清算</w:t>
      </w:r>
      <w:r>
        <w:rPr>
          <w:rFonts w:hint="eastAsia" w:ascii="仿宋" w:hAnsi="仿宋" w:eastAsia="仿宋"/>
          <w:sz w:val="26"/>
          <w:szCs w:val="26"/>
        </w:rPr>
        <w:t>一案，并</w:t>
      </w:r>
      <w:r>
        <w:rPr>
          <w:rFonts w:hint="eastAsia" w:ascii="仿宋" w:hAnsi="仿宋" w:eastAsia="仿宋"/>
          <w:sz w:val="26"/>
          <w:szCs w:val="26"/>
          <w:lang w:eastAsia="zh-Hans"/>
        </w:rPr>
        <w:t>于</w:t>
      </w:r>
      <w:r>
        <w:rPr>
          <w:rFonts w:hint="eastAsia" w:ascii="仿宋" w:hAnsi="仿宋" w:eastAsia="仿宋"/>
          <w:sz w:val="26"/>
          <w:szCs w:val="26"/>
        </w:rPr>
        <w:t>2024年1月1</w:t>
      </w:r>
      <w:r>
        <w:rPr>
          <w:rFonts w:hint="eastAsia" w:ascii="仿宋" w:hAnsi="仿宋" w:eastAsia="仿宋"/>
          <w:sz w:val="26"/>
          <w:szCs w:val="26"/>
          <w:lang w:val="en-US" w:eastAsia="zh-CN"/>
        </w:rPr>
        <w:t>6</w:t>
      </w:r>
      <w:r>
        <w:rPr>
          <w:rFonts w:hint="eastAsia" w:ascii="仿宋" w:hAnsi="仿宋" w:eastAsia="仿宋"/>
          <w:sz w:val="26"/>
          <w:szCs w:val="26"/>
        </w:rPr>
        <w:t>日指定北京市隆安（南通）律师事务所为管理人。</w:t>
      </w:r>
      <w:r>
        <w:rPr>
          <w:rFonts w:hint="eastAsia" w:ascii="仿宋" w:hAnsi="仿宋" w:eastAsia="仿宋"/>
          <w:b/>
          <w:bCs/>
          <w:i w:val="0"/>
          <w:iCs w:val="0"/>
          <w:sz w:val="26"/>
          <w:szCs w:val="26"/>
        </w:rPr>
        <w:t>第一次债权人会议召开时间</w:t>
      </w:r>
      <w:r>
        <w:rPr>
          <w:rFonts w:hint="eastAsia" w:ascii="仿宋" w:hAnsi="仿宋" w:eastAsia="仿宋"/>
          <w:b/>
          <w:bCs/>
          <w:i w:val="0"/>
          <w:iCs w:val="0"/>
          <w:sz w:val="26"/>
          <w:szCs w:val="26"/>
          <w:lang w:val="en-US" w:eastAsia="zh-CN"/>
        </w:rPr>
        <w:t>为2024年3月4日9时，地点：海安市人民法院本部第十六法庭</w:t>
      </w:r>
      <w:r>
        <w:rPr>
          <w:rFonts w:hint="eastAsia" w:ascii="仿宋" w:hAnsi="仿宋" w:eastAsia="仿宋"/>
          <w:b/>
          <w:bCs/>
          <w:i w:val="0"/>
          <w:iCs w:val="0"/>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1、时间界限：人民法院受理破产重整申请时对债务人享有债权的债权人，均有权向管理人申报债权。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、未到期债权，在破产重整申请受理时视为已到期；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利息计算不超过2024年1月1</w:t>
      </w:r>
      <w:r>
        <w:rPr>
          <w:rFonts w:hint="eastAsia" w:ascii="仿宋" w:hAnsi="仿宋" w:eastAsia="仿宋"/>
          <w:b/>
          <w:sz w:val="26"/>
          <w:szCs w:val="26"/>
          <w:lang w:val="en-US" w:eastAsia="zh-CN"/>
        </w:rPr>
        <w:t>2</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债权申报截止日期：2024年2月2</w:t>
      </w:r>
      <w:r>
        <w:rPr>
          <w:rFonts w:hint="eastAsia" w:ascii="仿宋" w:hAnsi="仿宋" w:eastAsia="仿宋"/>
          <w:b/>
          <w:sz w:val="26"/>
          <w:szCs w:val="26"/>
          <w:lang w:val="en-US" w:eastAsia="zh-CN"/>
        </w:rPr>
        <w:t>6</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24年1月1</w:t>
      </w:r>
      <w:r>
        <w:rPr>
          <w:rFonts w:hint="eastAsia" w:ascii="仿宋" w:hAnsi="仿宋" w:eastAsia="仿宋"/>
          <w:sz w:val="26"/>
          <w:szCs w:val="26"/>
          <w:lang w:val="en-US" w:eastAsia="zh-CN"/>
        </w:rPr>
        <w:t>2</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、在人民法院确定的债权申报期限内，债权人未申报债权的，可以在重整计划草案提交债权人会议讨论前补充申报，但要承担为审查和确认补充债权所产生的费用。</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、债权人未依法申报债权的，在重整计划执行期间不得行使权利，在重整计划执行完毕后可以按照重整计划规定的同类债权的清偿条件行使权利。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南通市崇川区虹桥路1号文峰城市广场6号楼22层北京市隆安（南通）律师事务所，联系人：</w:t>
      </w:r>
      <w:r>
        <w:rPr>
          <w:rFonts w:hint="eastAsia" w:ascii="仿宋" w:hAnsi="仿宋" w:eastAsia="仿宋"/>
          <w:b/>
          <w:sz w:val="26"/>
          <w:szCs w:val="26"/>
          <w:lang w:eastAsia="zh-Hans"/>
        </w:rPr>
        <w:t>李律师13485115619，左律师18451026111。</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7"/>
          <w:rFonts w:hint="eastAsia" w:ascii="仿宋" w:hAnsi="仿宋" w:eastAsia="仿宋"/>
          <w:bCs/>
          <w:color w:val="auto"/>
          <w:sz w:val="26"/>
          <w:szCs w:val="26"/>
        </w:rPr>
        <w:t>w</w:t>
      </w:r>
      <w:r>
        <w:rPr>
          <w:rStyle w:val="17"/>
          <w:rFonts w:ascii="仿宋" w:hAnsi="仿宋" w:eastAsia="仿宋"/>
          <w:bCs/>
          <w:color w:val="auto"/>
          <w:sz w:val="26"/>
          <w:szCs w:val="26"/>
        </w:rPr>
        <w:t>ww.ntls.cn-</w:t>
      </w:r>
      <w:r>
        <w:rPr>
          <w:rStyle w:val="17"/>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420"/>
        <w:jc w:val="right"/>
        <w:rPr>
          <w:rFonts w:ascii="仿宋" w:hAnsi="仿宋" w:eastAsia="仿宋"/>
          <w:sz w:val="26"/>
          <w:szCs w:val="26"/>
          <w:lang w:eastAsia="zh-Hans"/>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spacing w:line="0" w:lineRule="atLeast"/>
        <w:ind w:firstLine="420"/>
        <w:jc w:val="right"/>
        <w:rPr>
          <w:rFonts w:ascii="仿宋" w:hAnsi="仿宋" w:eastAsia="仿宋"/>
          <w:sz w:val="26"/>
          <w:szCs w:val="26"/>
          <w:lang w:eastAsia="zh-Hans"/>
        </w:rPr>
      </w:pPr>
    </w:p>
    <w:p>
      <w:pPr>
        <w:spacing w:line="0" w:lineRule="atLeast"/>
        <w:ind w:right="520" w:firstLine="420"/>
        <w:jc w:val="right"/>
        <w:rPr>
          <w:rFonts w:ascii="仿宋" w:hAnsi="仿宋" w:eastAsia="仿宋"/>
          <w:b/>
          <w:bCs/>
          <w:sz w:val="26"/>
          <w:szCs w:val="26"/>
        </w:rPr>
      </w:pPr>
      <w:r>
        <w:rPr>
          <w:rFonts w:hint="eastAsia" w:ascii="仿宋" w:hAnsi="仿宋" w:eastAsia="仿宋"/>
          <w:b/>
          <w:bCs/>
          <w:sz w:val="26"/>
          <w:szCs w:val="26"/>
          <w:lang w:eastAsia="zh-CN"/>
        </w:rPr>
        <w:t>江苏星鲨玻璃科技有限公司</w:t>
      </w:r>
      <w:r>
        <w:rPr>
          <w:rFonts w:hint="eastAsia" w:ascii="仿宋" w:hAnsi="仿宋" w:eastAsia="仿宋"/>
          <w:b/>
          <w:bCs/>
          <w:sz w:val="26"/>
          <w:szCs w:val="26"/>
        </w:rPr>
        <w:t>管理人</w:t>
      </w:r>
    </w:p>
    <w:p>
      <w:pPr>
        <w:spacing w:line="0" w:lineRule="atLeast"/>
        <w:ind w:right="520" w:firstLine="420"/>
        <w:jc w:val="right"/>
        <w:rPr>
          <w:rFonts w:ascii="仿宋" w:hAnsi="仿宋" w:eastAsia="仿宋"/>
          <w:b/>
          <w:bCs/>
          <w:sz w:val="26"/>
          <w:szCs w:val="26"/>
        </w:rPr>
      </w:pPr>
    </w:p>
    <w:p>
      <w:pPr>
        <w:spacing w:line="0" w:lineRule="atLeast"/>
        <w:ind w:right="520" w:firstLine="420"/>
        <w:jc w:val="right"/>
        <w:rPr>
          <w:rFonts w:ascii="仿宋" w:hAnsi="仿宋" w:eastAsia="仿宋"/>
          <w:sz w:val="26"/>
          <w:szCs w:val="26"/>
        </w:rPr>
      </w:pPr>
      <w:r>
        <w:rPr>
          <w:rFonts w:hint="eastAsia" w:ascii="仿宋" w:hAnsi="仿宋" w:eastAsia="仿宋"/>
          <w:b/>
          <w:bCs/>
          <w:sz w:val="26"/>
          <w:szCs w:val="26"/>
        </w:rPr>
        <w:t>二○二四年一月十</w:t>
      </w:r>
      <w:r>
        <w:rPr>
          <w:rFonts w:hint="eastAsia" w:ascii="仿宋" w:hAnsi="仿宋" w:eastAsia="仿宋"/>
          <w:b/>
          <w:bCs/>
          <w:sz w:val="26"/>
          <w:szCs w:val="26"/>
          <w:lang w:val="en-US" w:eastAsia="zh-CN"/>
        </w:rPr>
        <w:t>六</w:t>
      </w:r>
      <w:r>
        <w:rPr>
          <w:rFonts w:hint="eastAsia" w:ascii="仿宋" w:hAnsi="仿宋" w:eastAsia="仿宋"/>
          <w:b/>
          <w:bCs/>
          <w:sz w:val="26"/>
          <w:szCs w:val="26"/>
        </w:rPr>
        <w:t>日</w:t>
      </w: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spacing w:line="0" w:lineRule="atLeast"/>
        <w:ind w:firstLine="420"/>
        <w:jc w:val="right"/>
        <w:rPr>
          <w:rFonts w:ascii="仿宋" w:hAnsi="仿宋" w:eastAsia="仿宋"/>
          <w:sz w:val="26"/>
          <w:szCs w:val="26"/>
        </w:rPr>
      </w:pP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eastAsia="zh-CN"/>
        </w:rPr>
        <w:t>江苏星鲨玻璃科技有限公司</w:t>
      </w:r>
      <w:r>
        <w:rPr>
          <w:rFonts w:hint="eastAsia" w:ascii="仿宋" w:hAnsi="仿宋" w:eastAsia="仿宋"/>
          <w:szCs w:val="21"/>
        </w:rPr>
        <w:t xml:space="preserve">    　</w:t>
      </w:r>
      <w:r>
        <w:rPr>
          <w:rFonts w:ascii="仿宋" w:hAnsi="仿宋" w:eastAsia="仿宋"/>
          <w:szCs w:val="21"/>
        </w:rPr>
        <w:t>　　　　　　　　　</w:t>
      </w:r>
      <w:r>
        <w:rPr>
          <w:rFonts w:hint="eastAsia" w:ascii="仿宋" w:hAnsi="仿宋" w:eastAsia="仿宋"/>
          <w:szCs w:val="21"/>
        </w:rPr>
        <w:t xml:space="preserve">   货币单位：人民币元</w:t>
      </w:r>
    </w:p>
    <w:tbl>
      <w:tblPr>
        <w:tblStyle w:val="22"/>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法定代表人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spacing w:line="300" w:lineRule="exact"/>
              <w:ind w:left="743" w:hanging="743" w:hangingChars="354"/>
              <w:jc w:val="center"/>
              <w:rPr>
                <w:rFonts w:ascii="仿宋" w:hAnsi="仿宋" w:eastAsia="仿宋"/>
                <w:szCs w:val="21"/>
              </w:rPr>
            </w:pPr>
          </w:p>
        </w:tc>
        <w:tc>
          <w:tcPr>
            <w:tcW w:w="1557" w:type="dxa"/>
          </w:tcPr>
          <w:p>
            <w:pPr>
              <w:spacing w:line="300" w:lineRule="exact"/>
              <w:ind w:left="743" w:hanging="743" w:hangingChars="354"/>
              <w:rPr>
                <w:rFonts w:ascii="仿宋" w:hAnsi="仿宋" w:eastAsia="仿宋"/>
                <w:szCs w:val="21"/>
              </w:rPr>
            </w:pPr>
            <w:r>
              <w:rPr>
                <w:rFonts w:hint="eastAsia" w:ascii="仿宋" w:hAnsi="仿宋" w:eastAsia="仿宋"/>
                <w:szCs w:val="21"/>
              </w:rPr>
              <w:t>银行帐号</w:t>
            </w:r>
          </w:p>
        </w:tc>
        <w:tc>
          <w:tcPr>
            <w:tcW w:w="4967" w:type="dxa"/>
            <w:gridSpan w:val="5"/>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spacing w:line="300" w:lineRule="exact"/>
              <w:ind w:left="743" w:hanging="743" w:hangingChars="354"/>
              <w:jc w:val="center"/>
              <w:rPr>
                <w:rFonts w:ascii="仿宋" w:hAnsi="仿宋" w:eastAsia="仿宋"/>
                <w:szCs w:val="21"/>
              </w:rPr>
            </w:pPr>
          </w:p>
        </w:tc>
        <w:tc>
          <w:tcPr>
            <w:tcW w:w="1417" w:type="dxa"/>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693"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jc w:val="center"/>
        </w:trPr>
        <w:tc>
          <w:tcPr>
            <w:tcW w:w="1282" w:type="dxa"/>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8"/>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9"/>
          </w:tcPr>
          <w:p>
            <w:pPr>
              <w:spacing w:line="300" w:lineRule="exact"/>
              <w:ind w:left="-120" w:leftChars="-57" w:firstLine="117" w:firstLineChars="56"/>
              <w:jc w:val="left"/>
              <w:rPr>
                <w:rFonts w:ascii="仿宋" w:hAnsi="仿宋" w:eastAsia="仿宋"/>
                <w:b/>
                <w:bCs/>
                <w:szCs w:val="21"/>
              </w:rPr>
            </w:pPr>
            <w:r>
              <w:rPr>
                <w:rFonts w:hint="eastAsia" w:ascii="仿宋" w:hAnsi="仿宋" w:eastAsia="仿宋"/>
                <w:szCs w:val="21"/>
              </w:rPr>
              <w:t xml:space="preserve">    </w:t>
            </w:r>
            <w:r>
              <w:rPr>
                <w:rFonts w:hint="eastAsia" w:ascii="仿宋" w:hAnsi="仿宋" w:eastAsia="仿宋"/>
                <w:b/>
                <w:bCs/>
                <w:szCs w:val="21"/>
              </w:rPr>
              <w:t>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申报人（盖章）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bCs/>
          <w:sz w:val="28"/>
          <w:szCs w:val="28"/>
          <w:lang w:eastAsia="zh-CN"/>
        </w:rPr>
        <w:t>江苏星鲨玻璃科技有</w:t>
      </w:r>
      <w:r>
        <w:rPr>
          <w:rFonts w:hint="eastAsia" w:ascii="仿宋" w:hAnsi="仿宋" w:eastAsia="仿宋"/>
          <w:b/>
          <w:bCs/>
          <w:sz w:val="26"/>
          <w:szCs w:val="26"/>
          <w:lang w:eastAsia="zh-CN"/>
        </w:rPr>
        <w:t>限公司</w:t>
      </w:r>
      <w:r>
        <w:rPr>
          <w:rFonts w:hint="eastAsia" w:ascii="仿宋" w:hAnsi="仿宋" w:eastAsia="仿宋"/>
          <w:b/>
          <w:bCs/>
          <w:sz w:val="28"/>
          <w:szCs w:val="28"/>
        </w:rPr>
        <w:t>破产</w:t>
      </w:r>
      <w:r>
        <w:rPr>
          <w:rFonts w:hint="eastAsia" w:ascii="仿宋" w:hAnsi="仿宋" w:eastAsia="仿宋"/>
          <w:b/>
          <w:bCs/>
          <w:sz w:val="28"/>
          <w:szCs w:val="28"/>
          <w:lang w:val="en-US" w:eastAsia="zh-CN"/>
        </w:rPr>
        <w:t>清算</w:t>
      </w:r>
      <w:r>
        <w:rPr>
          <w:rFonts w:hint="eastAsia" w:ascii="仿宋" w:hAnsi="仿宋" w:eastAsia="仿宋"/>
          <w:b/>
          <w:sz w:val="28"/>
          <w:szCs w:val="28"/>
        </w:rPr>
        <w:t>一案</w:t>
      </w:r>
    </w:p>
    <w:p>
      <w:pPr>
        <w:spacing w:line="0" w:lineRule="atLeast"/>
        <w:jc w:val="center"/>
        <w:rPr>
          <w:rFonts w:ascii="仿宋" w:hAnsi="仿宋" w:eastAsia="仿宋"/>
          <w:b/>
          <w:sz w:val="28"/>
          <w:szCs w:val="28"/>
        </w:rPr>
      </w:pPr>
      <w:bookmarkStart w:id="0" w:name="_GoBack"/>
      <w:bookmarkEnd w:id="0"/>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4"/>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7" w:type="dxa"/>
          <w:trHeight w:val="1596" w:hRule="atLeast"/>
        </w:trPr>
        <w:tc>
          <w:tcPr>
            <w:tcW w:w="9498" w:type="dxa"/>
            <w:gridSpan w:val="5"/>
            <w:vAlign w:val="center"/>
          </w:tcPr>
          <w:p>
            <w:pPr>
              <w:spacing w:line="0" w:lineRule="atLeast"/>
              <w:rPr>
                <w:rFonts w:ascii="仿宋" w:hAnsi="仿宋" w:eastAsia="仿宋"/>
                <w:b/>
                <w:bCs/>
                <w:sz w:val="24"/>
                <w:szCs w:val="28"/>
              </w:rPr>
            </w:pPr>
            <w:r>
              <w:rPr>
                <w:rFonts w:hint="eastAsia" w:ascii="仿宋" w:hAnsi="仿宋" w:eastAsia="仿宋"/>
                <w:b/>
                <w:bCs/>
                <w:sz w:val="24"/>
                <w:szCs w:val="28"/>
              </w:rPr>
              <w:t>提交人声明：本次提交的所有债权文件与原件相一致，不存在变造、伪造等情形，</w:t>
            </w:r>
            <w:r>
              <w:rPr>
                <w:rFonts w:ascii="仿宋" w:hAnsi="仿宋" w:eastAsia="仿宋"/>
                <w:b/>
                <w:bCs/>
                <w:sz w:val="24"/>
                <w:szCs w:val="28"/>
              </w:rPr>
              <w:t>如有变更或增加事项，必须在法定期限内提出，</w:t>
            </w:r>
            <w:r>
              <w:rPr>
                <w:rFonts w:hint="eastAsia" w:ascii="仿宋" w:hAnsi="仿宋" w:eastAsia="仿宋"/>
                <w:b/>
                <w:bCs/>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b/>
                <w:bCs/>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lang w:eastAsia="zh-CN"/>
        </w:rPr>
        <w:t>江苏星鲨玻璃科技有限公司</w:t>
      </w:r>
      <w:r>
        <w:rPr>
          <w:rFonts w:hint="eastAsia" w:ascii="华文仿宋" w:hAnsi="华文仿宋" w:eastAsia="华文仿宋" w:cs="宋体"/>
          <w:bCs/>
          <w:color w:val="323E32"/>
          <w:kern w:val="0"/>
          <w:sz w:val="28"/>
          <w:szCs w:val="28"/>
        </w:rPr>
        <w:t>管理人: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sz w:val="28"/>
          <w:szCs w:val="28"/>
          <w:u w:val="single"/>
          <w:lang w:eastAsia="zh-CN"/>
        </w:rPr>
        <w:t>江苏星鲨玻璃科技有限公司</w:t>
      </w:r>
      <w:r>
        <w:rPr>
          <w:rFonts w:ascii="仿宋" w:hAnsi="仿宋" w:eastAsia="仿宋" w:cs="宋体"/>
          <w:bCs/>
          <w:color w:val="323E32"/>
          <w:kern w:val="0"/>
          <w:sz w:val="28"/>
          <w:szCs w:val="28"/>
          <w:u w:val="single"/>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w:t>
      </w:r>
      <w:r>
        <w:rPr>
          <w:rFonts w:hint="eastAsia" w:ascii="仿宋" w:hAnsi="仿宋" w:eastAsia="仿宋"/>
          <w:sz w:val="26"/>
          <w:szCs w:val="26"/>
          <w:lang w:eastAsia="zh-CN"/>
        </w:rPr>
        <w:t>江苏星鲨玻璃科技有限公司</w:t>
      </w:r>
      <w:r>
        <w:rPr>
          <w:rFonts w:hint="eastAsia" w:ascii="仿宋" w:hAnsi="仿宋" w:eastAsia="仿宋" w:cs="宋体"/>
          <w:bCs/>
          <w:color w:val="323E32"/>
          <w:kern w:val="0"/>
          <w:sz w:val="28"/>
          <w:szCs w:val="28"/>
        </w:rPr>
        <w:t>破产重整一案中申报债权等事宜，特委托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640" w:firstLineChars="13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委托单位（盖章）：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hint="eastAsia" w:ascii="仿宋" w:hAnsi="仿宋" w:eastAsia="仿宋"/>
          <w:b/>
          <w:sz w:val="44"/>
          <w:szCs w:val="44"/>
          <w:lang w:eastAsia="zh-CN"/>
        </w:rPr>
      </w:pPr>
      <w:r>
        <w:rPr>
          <w:rFonts w:hint="eastAsia" w:ascii="仿宋" w:hAnsi="仿宋" w:eastAsia="仿宋"/>
          <w:b/>
          <w:sz w:val="44"/>
          <w:szCs w:val="44"/>
          <w:lang w:eastAsia="zh-CN"/>
        </w:rPr>
        <w:t>江苏星鲨玻璃科技有限公司</w:t>
      </w: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hint="eastAsia" w:ascii="仿宋" w:hAnsi="仿宋" w:eastAsia="仿宋"/>
          <w:b/>
          <w:sz w:val="36"/>
          <w:szCs w:val="36"/>
          <w:lang w:eastAsia="zh-CN"/>
        </w:rPr>
      </w:pPr>
      <w:r>
        <w:rPr>
          <w:rFonts w:hint="eastAsia" w:ascii="仿宋" w:hAnsi="仿宋" w:eastAsia="仿宋"/>
          <w:b/>
          <w:sz w:val="36"/>
          <w:szCs w:val="36"/>
          <w:lang w:eastAsia="zh-CN"/>
        </w:rPr>
        <w:t>江苏星鲨玻璃科技有限公司</w:t>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我单位已经阅读了管理人对债权人填写送达地址确认书的告知事项，并保证上述送达地址是准确、有效的。如我单位填写的其他地址与此不一致，以此确认书为准。债权人或其代理人签名、盖章或捺印：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3</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9</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7"/>
        <w:rFonts w:hint="eastAsia" w:ascii="宋体" w:hAnsi="宋体"/>
        <w:kern w:val="0"/>
        <w:sz w:val="15"/>
      </w:rPr>
      <w:t>www.longanlaw.com</w:t>
    </w:r>
    <w:r>
      <w:rPr>
        <w:rStyle w:val="17"/>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7"/>
        <w:rFonts w:hint="eastAsia" w:ascii="宋体" w:hAnsi="宋体"/>
        <w:kern w:val="0"/>
        <w:sz w:val="15"/>
      </w:rPr>
      <w:t>www.ntls.cn</w:t>
    </w:r>
    <w:r>
      <w:rPr>
        <w:rStyle w:val="17"/>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YjdlZjhkMzY1NTNkMTkzNjlmMzRmMzE2YTM3YTIifQ=="/>
  </w:docVars>
  <w:rsids>
    <w:rsidRoot w:val="004E2111"/>
    <w:rsid w:val="00005C41"/>
    <w:rsid w:val="00007289"/>
    <w:rsid w:val="00011418"/>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976F6"/>
    <w:rsid w:val="002A5A8C"/>
    <w:rsid w:val="002B3FDC"/>
    <w:rsid w:val="002F0E11"/>
    <w:rsid w:val="00312811"/>
    <w:rsid w:val="00315226"/>
    <w:rsid w:val="003241A5"/>
    <w:rsid w:val="003269C4"/>
    <w:rsid w:val="00365367"/>
    <w:rsid w:val="00370101"/>
    <w:rsid w:val="00373351"/>
    <w:rsid w:val="003A4913"/>
    <w:rsid w:val="003D15F9"/>
    <w:rsid w:val="003D1648"/>
    <w:rsid w:val="003D6496"/>
    <w:rsid w:val="003E21ED"/>
    <w:rsid w:val="003E354B"/>
    <w:rsid w:val="003E46AB"/>
    <w:rsid w:val="003F0FA8"/>
    <w:rsid w:val="003F541C"/>
    <w:rsid w:val="004005D7"/>
    <w:rsid w:val="00416CD0"/>
    <w:rsid w:val="00456E92"/>
    <w:rsid w:val="00457181"/>
    <w:rsid w:val="00462678"/>
    <w:rsid w:val="00462CB4"/>
    <w:rsid w:val="004756D8"/>
    <w:rsid w:val="004772B0"/>
    <w:rsid w:val="0048593F"/>
    <w:rsid w:val="00497A87"/>
    <w:rsid w:val="004A000A"/>
    <w:rsid w:val="004B59F4"/>
    <w:rsid w:val="004C2F06"/>
    <w:rsid w:val="004D626C"/>
    <w:rsid w:val="004E2111"/>
    <w:rsid w:val="004E2250"/>
    <w:rsid w:val="004F0B56"/>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57BA5"/>
    <w:rsid w:val="006609F3"/>
    <w:rsid w:val="00673CC7"/>
    <w:rsid w:val="006771FE"/>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2B7"/>
    <w:rsid w:val="0074645D"/>
    <w:rsid w:val="007665F5"/>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90EB8"/>
    <w:rsid w:val="008946ED"/>
    <w:rsid w:val="00897A94"/>
    <w:rsid w:val="008A0986"/>
    <w:rsid w:val="008C1819"/>
    <w:rsid w:val="008D1581"/>
    <w:rsid w:val="008D1A64"/>
    <w:rsid w:val="008E2566"/>
    <w:rsid w:val="008E71A8"/>
    <w:rsid w:val="00907F21"/>
    <w:rsid w:val="00910492"/>
    <w:rsid w:val="00915937"/>
    <w:rsid w:val="00922040"/>
    <w:rsid w:val="009229BA"/>
    <w:rsid w:val="009244AE"/>
    <w:rsid w:val="009335EE"/>
    <w:rsid w:val="00935A4F"/>
    <w:rsid w:val="00951009"/>
    <w:rsid w:val="00956C55"/>
    <w:rsid w:val="009741AE"/>
    <w:rsid w:val="0097626D"/>
    <w:rsid w:val="00987BE4"/>
    <w:rsid w:val="00993A1E"/>
    <w:rsid w:val="00994FE2"/>
    <w:rsid w:val="009A2C27"/>
    <w:rsid w:val="009A4524"/>
    <w:rsid w:val="009D4A3C"/>
    <w:rsid w:val="009E182C"/>
    <w:rsid w:val="009F70D8"/>
    <w:rsid w:val="00A1147F"/>
    <w:rsid w:val="00A15B10"/>
    <w:rsid w:val="00A267A5"/>
    <w:rsid w:val="00A522B4"/>
    <w:rsid w:val="00A57165"/>
    <w:rsid w:val="00A7290A"/>
    <w:rsid w:val="00A817F0"/>
    <w:rsid w:val="00A822FE"/>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534B9"/>
    <w:rsid w:val="00B93CCC"/>
    <w:rsid w:val="00BB07E6"/>
    <w:rsid w:val="00BC128B"/>
    <w:rsid w:val="00BE0D8F"/>
    <w:rsid w:val="00BF41F7"/>
    <w:rsid w:val="00BF621F"/>
    <w:rsid w:val="00C23B5E"/>
    <w:rsid w:val="00C27B36"/>
    <w:rsid w:val="00C3602B"/>
    <w:rsid w:val="00C42005"/>
    <w:rsid w:val="00C84706"/>
    <w:rsid w:val="00C9283A"/>
    <w:rsid w:val="00CA199D"/>
    <w:rsid w:val="00CB67B9"/>
    <w:rsid w:val="00CB6F71"/>
    <w:rsid w:val="00CD4A8A"/>
    <w:rsid w:val="00CE05D3"/>
    <w:rsid w:val="00CE3586"/>
    <w:rsid w:val="00CF15FB"/>
    <w:rsid w:val="00CF3181"/>
    <w:rsid w:val="00D04AC7"/>
    <w:rsid w:val="00D05DBB"/>
    <w:rsid w:val="00D12FE2"/>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354DA"/>
    <w:rsid w:val="00E9029C"/>
    <w:rsid w:val="00E9199E"/>
    <w:rsid w:val="00EA45A5"/>
    <w:rsid w:val="00EB0659"/>
    <w:rsid w:val="00EC6F80"/>
    <w:rsid w:val="00ED3DF2"/>
    <w:rsid w:val="00F02CB9"/>
    <w:rsid w:val="00F12271"/>
    <w:rsid w:val="00F25B61"/>
    <w:rsid w:val="00F33DBB"/>
    <w:rsid w:val="00F40A17"/>
    <w:rsid w:val="00F66D69"/>
    <w:rsid w:val="00F82A23"/>
    <w:rsid w:val="00F87311"/>
    <w:rsid w:val="00F874A7"/>
    <w:rsid w:val="00F978A9"/>
    <w:rsid w:val="00FA04C1"/>
    <w:rsid w:val="00FD5027"/>
    <w:rsid w:val="00FE0ECD"/>
    <w:rsid w:val="00FE497A"/>
    <w:rsid w:val="00FE7397"/>
    <w:rsid w:val="00FF2281"/>
    <w:rsid w:val="01F125D2"/>
    <w:rsid w:val="02DB6125"/>
    <w:rsid w:val="09B65A31"/>
    <w:rsid w:val="155F1C3C"/>
    <w:rsid w:val="18CD34EF"/>
    <w:rsid w:val="1F2315E6"/>
    <w:rsid w:val="2CFF3A45"/>
    <w:rsid w:val="357E5277"/>
    <w:rsid w:val="42324A15"/>
    <w:rsid w:val="609B291C"/>
    <w:rsid w:val="764145C1"/>
    <w:rsid w:val="7A0A57D4"/>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3" w:lineRule="auto"/>
      <w:outlineLvl w:val="2"/>
    </w:pPr>
    <w:rPr>
      <w:b/>
      <w:sz w:val="2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toc 3"/>
    <w:basedOn w:val="1"/>
    <w:next w:val="1"/>
    <w:autoRedefine/>
    <w:qFormat/>
    <w:uiPriority w:val="0"/>
    <w:pPr>
      <w:spacing w:line="360" w:lineRule="auto"/>
      <w:ind w:left="840" w:leftChars="400"/>
    </w:pPr>
    <w:rPr>
      <w:rFonts w:eastAsia="楷体_GB2312"/>
      <w:b/>
      <w:sz w:val="24"/>
    </w:rPr>
  </w:style>
  <w:style w:type="paragraph" w:styleId="6">
    <w:name w:val="Date"/>
    <w:basedOn w:val="1"/>
    <w:next w:val="1"/>
    <w:link w:val="24"/>
    <w:autoRedefine/>
    <w:semiHidden/>
    <w:unhideWhenUsed/>
    <w:qFormat/>
    <w:uiPriority w:val="99"/>
    <w:pPr>
      <w:ind w:left="100" w:leftChars="2500"/>
    </w:pPr>
  </w:style>
  <w:style w:type="paragraph" w:styleId="7">
    <w:name w:val="Balloon Text"/>
    <w:basedOn w:val="1"/>
    <w:link w:val="21"/>
    <w:autoRedefine/>
    <w:unhideWhenUsed/>
    <w:qFormat/>
    <w:uiPriority w:val="99"/>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pPr>
      <w:spacing w:before="120" w:after="120"/>
      <w:jc w:val="left"/>
    </w:pPr>
    <w:rPr>
      <w:b/>
      <w:bCs/>
      <w:caps/>
      <w:sz w:val="20"/>
    </w:rPr>
  </w:style>
  <w:style w:type="paragraph" w:styleId="11">
    <w:name w:val="toc 2"/>
    <w:basedOn w:val="1"/>
    <w:next w:val="1"/>
    <w:autoRedefine/>
    <w:qFormat/>
    <w:uiPriority w:val="0"/>
    <w:pPr>
      <w:spacing w:line="360" w:lineRule="auto"/>
      <w:ind w:left="210"/>
      <w:jc w:val="left"/>
    </w:pPr>
    <w:rPr>
      <w:rFonts w:eastAsia="楷体_GB2312"/>
      <w:smallCaps/>
      <w:sz w:val="32"/>
    </w:rPr>
  </w:style>
  <w:style w:type="paragraph" w:styleId="12">
    <w:name w:val="Normal (Web)"/>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autoRedefine/>
    <w:qFormat/>
    <w:uiPriority w:val="0"/>
  </w:style>
  <w:style w:type="character" w:styleId="17">
    <w:name w:val="Hyperlink"/>
    <w:autoRedefine/>
    <w:qFormat/>
    <w:uiPriority w:val="0"/>
    <w:rPr>
      <w:color w:val="0000FF"/>
      <w:u w:val="single"/>
    </w:rPr>
  </w:style>
  <w:style w:type="paragraph" w:customStyle="1" w:styleId="18">
    <w:name w:val="_Style 12"/>
    <w:basedOn w:val="1"/>
    <w:autoRedefine/>
    <w:qFormat/>
    <w:uiPriority w:val="0"/>
  </w:style>
  <w:style w:type="paragraph" w:customStyle="1" w:styleId="19">
    <w:name w:val="样式1"/>
    <w:basedOn w:val="11"/>
    <w:autoRedefine/>
    <w:qFormat/>
    <w:uiPriority w:val="0"/>
  </w:style>
  <w:style w:type="paragraph" w:customStyle="1" w:styleId="20">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1">
    <w:name w:val="批注框文本 Char"/>
    <w:link w:val="7"/>
    <w:autoRedefine/>
    <w:semiHidden/>
    <w:qFormat/>
    <w:uiPriority w:val="99"/>
    <w:rPr>
      <w:kern w:val="2"/>
      <w:sz w:val="18"/>
      <w:szCs w:val="18"/>
    </w:rPr>
  </w:style>
  <w:style w:type="table" w:customStyle="1" w:styleId="22">
    <w:name w:val="网格型1"/>
    <w:basedOn w:val="13"/>
    <w:autoRedefine/>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未处理的提及1"/>
    <w:basedOn w:val="15"/>
    <w:autoRedefine/>
    <w:unhideWhenUsed/>
    <w:qFormat/>
    <w:uiPriority w:val="99"/>
    <w:rPr>
      <w:color w:val="605E5C"/>
      <w:shd w:val="clear" w:color="auto" w:fill="E1DFDD"/>
    </w:rPr>
  </w:style>
  <w:style w:type="character" w:customStyle="1" w:styleId="24">
    <w:name w:val="日期 Char"/>
    <w:basedOn w:val="15"/>
    <w:link w:val="6"/>
    <w:autoRedefine/>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780</Words>
  <Characters>4448</Characters>
  <Lines>37</Lines>
  <Paragraphs>10</Paragraphs>
  <TotalTime>1</TotalTime>
  <ScaleCrop>false</ScaleCrop>
  <LinksUpToDate>false</LinksUpToDate>
  <CharactersWithSpaces>5218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周 东华</dc:creator>
  <cp:lastModifiedBy>若水</cp:lastModifiedBy>
  <cp:lastPrinted>2022-05-13T03:48:00Z</cp:lastPrinted>
  <dcterms:modified xsi:type="dcterms:W3CDTF">2024-01-16T08:08:05Z</dcterms:modified>
  <dc:title>客户名+文件名+日期</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A3B249B16010480F8ECBB181CA5F250A_13</vt:lpwstr>
  </property>
</Properties>
</file>